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441A" w14:textId="11FD30BA" w:rsidR="00BE6C47" w:rsidRPr="0052514D" w:rsidRDefault="00BE6C47" w:rsidP="00BE6C4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  <w:t>R4-24</w:t>
      </w:r>
      <w:r w:rsidR="009342E9">
        <w:rPr>
          <w:rFonts w:eastAsia="SimSun" w:cs="Arial"/>
          <w:sz w:val="24"/>
          <w:szCs w:val="24"/>
          <w:lang w:eastAsia="zh-CN"/>
        </w:rPr>
        <w:t>16143</w:t>
      </w:r>
    </w:p>
    <w:p w14:paraId="738388C9" w14:textId="77777777" w:rsidR="00BE6C47" w:rsidRPr="0052514D" w:rsidRDefault="00BE6C47" w:rsidP="00BE6C4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AD9120E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05232A" w:rsidRPr="00A47A28">
        <w:rPr>
          <w:lang w:val="en-US"/>
        </w:rPr>
        <w:t xml:space="preserve">NTN Ku-band – </w:t>
      </w:r>
      <w:r w:rsidR="006E064C" w:rsidRPr="00A47A28">
        <w:rPr>
          <w:lang w:val="en-US"/>
        </w:rPr>
        <w:t>VSAT RF</w:t>
      </w:r>
    </w:p>
    <w:p w14:paraId="38171D17" w14:textId="0C83FEF6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A47A28">
        <w:rPr>
          <w:lang w:val="en-US"/>
        </w:rPr>
        <w:t>6.9.4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3F5DCF92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EA3C6D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D809D2">
        <w:rPr>
          <w:lang w:val="en-US"/>
        </w:rPr>
        <w:t xml:space="preserve">Ku </w:t>
      </w:r>
      <w:r w:rsidR="00725146">
        <w:rPr>
          <w:lang w:val="en-US"/>
        </w:rPr>
        <w:t>band</w:t>
      </w:r>
      <w:r w:rsidR="00D809D2">
        <w:rPr>
          <w:lang w:val="en-US"/>
        </w:rPr>
        <w:t>(s)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4D61439B" w:rsidR="00260152" w:rsidRDefault="00DB6678" w:rsidP="00EF528C">
      <w:pPr>
        <w:shd w:val="clear" w:color="auto" w:fill="FFFFFF"/>
        <w:rPr>
          <w:lang w:val="en-US"/>
        </w:rPr>
      </w:pPr>
      <w:r>
        <w:rPr>
          <w:lang w:val="en-US"/>
        </w:rPr>
        <w:t>RAN4 had initial discussion in last RAN4#11</w:t>
      </w:r>
      <w:r w:rsidR="009C2EDF">
        <w:rPr>
          <w:lang w:val="en-US"/>
        </w:rPr>
        <w:t xml:space="preserve">2 meeting and a way forward </w:t>
      </w:r>
      <w:r w:rsidR="00DD0C02">
        <w:rPr>
          <w:lang w:val="en-US"/>
        </w:rPr>
        <w:t>(</w:t>
      </w:r>
      <w:r w:rsidR="00DD0C02">
        <w:rPr>
          <w:lang w:val="en-US"/>
        </w:rPr>
        <w:fldChar w:fldCharType="begin"/>
      </w:r>
      <w:r w:rsidR="00DD0C02">
        <w:rPr>
          <w:lang w:val="en-US"/>
        </w:rPr>
        <w:instrText xml:space="preserve"> REF _Ref178587121 \r \h </w:instrText>
      </w:r>
      <w:r w:rsidR="00DD0C02">
        <w:rPr>
          <w:lang w:val="en-US"/>
        </w:rPr>
      </w:r>
      <w:r w:rsidR="00DD0C02">
        <w:rPr>
          <w:lang w:val="en-US"/>
        </w:rPr>
        <w:fldChar w:fldCharType="separate"/>
      </w:r>
      <w:r w:rsidR="00DD0C02">
        <w:rPr>
          <w:lang w:val="en-US"/>
        </w:rPr>
        <w:t>[2]</w:t>
      </w:r>
      <w:r w:rsidR="00DD0C02">
        <w:rPr>
          <w:lang w:val="en-US"/>
        </w:rPr>
        <w:fldChar w:fldCharType="end"/>
      </w:r>
      <w:r w:rsidR="00DD0C02">
        <w:rPr>
          <w:lang w:val="en-US"/>
        </w:rPr>
        <w:t xml:space="preserve">) </w:t>
      </w:r>
      <w:r w:rsidR="009C2EDF">
        <w:rPr>
          <w:lang w:val="en-US"/>
        </w:rPr>
        <w:t xml:space="preserve">has been agreed. This contribution discusses further the VSAT RF aspect, and more specifically the regulatory </w:t>
      </w:r>
      <w:r w:rsidR="00DD0C02">
        <w:rPr>
          <w:lang w:val="en-US"/>
        </w:rPr>
        <w:t xml:space="preserve">information for the agreed NTN KU-band for CEPT countries. 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5EF5F45" w:rsidR="00133F33" w:rsidRDefault="005C7F53" w:rsidP="0015539A">
      <w:pPr>
        <w:pStyle w:val="Heading2"/>
      </w:pPr>
      <w:r>
        <w:t xml:space="preserve">ECC </w:t>
      </w:r>
      <w:r w:rsidR="00B50F2E">
        <w:t>Regulation and Harmonized Standards</w:t>
      </w:r>
    </w:p>
    <w:p w14:paraId="0CDDEE6F" w14:textId="09F5D0D1" w:rsidR="00B50F2E" w:rsidRPr="00B50F2E" w:rsidRDefault="00B50F2E" w:rsidP="00B50F2E">
      <w:pPr>
        <w:rPr>
          <w:lang w:val="en-GB"/>
        </w:rPr>
      </w:pPr>
      <w:r>
        <w:rPr>
          <w:lang w:val="en-GB"/>
        </w:rPr>
        <w:t>In last RAN4#112 meeting, we shared our finding</w:t>
      </w:r>
      <w:r w:rsidR="006C5AEC">
        <w:rPr>
          <w:lang w:val="en-GB"/>
        </w:rPr>
        <w:t>s (</w:t>
      </w:r>
      <w:r w:rsidR="00700AA0">
        <w:rPr>
          <w:lang w:val="en-GB"/>
        </w:rPr>
        <w:fldChar w:fldCharType="begin"/>
      </w:r>
      <w:r w:rsidR="00700AA0">
        <w:rPr>
          <w:lang w:val="en-GB"/>
        </w:rPr>
        <w:instrText xml:space="preserve"> REF _Ref178797696 \r \h </w:instrText>
      </w:r>
      <w:r w:rsidR="00700AA0">
        <w:rPr>
          <w:lang w:val="en-GB"/>
        </w:rPr>
      </w:r>
      <w:r w:rsidR="00700AA0">
        <w:rPr>
          <w:lang w:val="en-GB"/>
        </w:rPr>
        <w:fldChar w:fldCharType="separate"/>
      </w:r>
      <w:r w:rsidR="00700AA0">
        <w:rPr>
          <w:lang w:val="en-GB"/>
        </w:rPr>
        <w:t>[3]</w:t>
      </w:r>
      <w:r w:rsidR="00700AA0">
        <w:rPr>
          <w:lang w:val="en-GB"/>
        </w:rPr>
        <w:fldChar w:fldCharType="end"/>
      </w:r>
      <w:r w:rsidR="006C5AEC">
        <w:rPr>
          <w:lang w:val="en-GB"/>
        </w:rPr>
        <w:t>)</w:t>
      </w:r>
      <w:r>
        <w:rPr>
          <w:lang w:val="en-GB"/>
        </w:rPr>
        <w:t xml:space="preserve"> about relevant </w:t>
      </w:r>
      <w:r w:rsidR="00BB28A4">
        <w:rPr>
          <w:lang w:val="en-GB"/>
        </w:rPr>
        <w:t>ECC Decision (</w:t>
      </w:r>
      <w:r w:rsidR="00BB28A4">
        <w:rPr>
          <w:lang w:val="en-GB"/>
        </w:rPr>
        <w:fldChar w:fldCharType="begin"/>
      </w:r>
      <w:r w:rsidR="00BB28A4">
        <w:rPr>
          <w:lang w:val="en-GB"/>
        </w:rPr>
        <w:instrText xml:space="preserve"> REF _Ref178797853 \h </w:instrText>
      </w:r>
      <w:r w:rsidR="00BB28A4">
        <w:rPr>
          <w:lang w:val="en-GB"/>
        </w:rPr>
      </w:r>
      <w:r w:rsidR="00BB28A4">
        <w:rPr>
          <w:lang w:val="en-GB"/>
        </w:rPr>
        <w:fldChar w:fldCharType="separate"/>
      </w:r>
      <w:r w:rsidR="00BB28A4">
        <w:t xml:space="preserve">Table </w:t>
      </w:r>
      <w:r w:rsidR="00BB28A4">
        <w:rPr>
          <w:noProof/>
        </w:rPr>
        <w:t>1</w:t>
      </w:r>
      <w:r w:rsidR="00BB28A4">
        <w:rPr>
          <w:lang w:val="en-GB"/>
        </w:rPr>
        <w:fldChar w:fldCharType="end"/>
      </w:r>
      <w:r w:rsidR="00BB28A4">
        <w:rPr>
          <w:lang w:val="en-GB"/>
        </w:rPr>
        <w:t>)</w:t>
      </w:r>
      <w:r>
        <w:rPr>
          <w:lang w:val="en-GB"/>
        </w:rPr>
        <w:t xml:space="preserve"> and Harmonized Standards </w:t>
      </w:r>
      <w:r w:rsidR="00BB28A4">
        <w:rPr>
          <w:lang w:val="en-GB"/>
        </w:rPr>
        <w:t>(</w:t>
      </w:r>
      <w:r w:rsidR="00BB28A4">
        <w:rPr>
          <w:lang w:val="en-GB"/>
        </w:rPr>
        <w:fldChar w:fldCharType="begin"/>
      </w:r>
      <w:r w:rsidR="00BB28A4">
        <w:rPr>
          <w:lang w:val="en-GB"/>
        </w:rPr>
        <w:instrText xml:space="preserve"> REF _Ref178797866 \h </w:instrText>
      </w:r>
      <w:r w:rsidR="00BB28A4">
        <w:rPr>
          <w:lang w:val="en-GB"/>
        </w:rPr>
      </w:r>
      <w:r w:rsidR="00BB28A4">
        <w:rPr>
          <w:lang w:val="en-GB"/>
        </w:rPr>
        <w:fldChar w:fldCharType="separate"/>
      </w:r>
      <w:r w:rsidR="00BB28A4">
        <w:t xml:space="preserve">Figure </w:t>
      </w:r>
      <w:r w:rsidR="00BB28A4">
        <w:rPr>
          <w:noProof/>
        </w:rPr>
        <w:t>1</w:t>
      </w:r>
      <w:r w:rsidR="00BB28A4">
        <w:rPr>
          <w:lang w:val="en-GB"/>
        </w:rPr>
        <w:fldChar w:fldCharType="end"/>
      </w:r>
      <w:r w:rsidR="00BB28A4">
        <w:rPr>
          <w:lang w:val="en-GB"/>
        </w:rPr>
        <w:t xml:space="preserve">) </w:t>
      </w:r>
      <w:r>
        <w:rPr>
          <w:lang w:val="en-GB"/>
        </w:rPr>
        <w:t>that should be considered when specifying the new NTN Ku-band as a</w:t>
      </w:r>
      <w:r w:rsidR="006C5AEC">
        <w:rPr>
          <w:lang w:val="en-GB"/>
        </w:rPr>
        <w:t>greed in last meeting (</w:t>
      </w:r>
      <w:r w:rsidR="00700AA0">
        <w:rPr>
          <w:lang w:val="en-US"/>
        </w:rPr>
        <w:fldChar w:fldCharType="begin"/>
      </w:r>
      <w:r w:rsidR="00700AA0">
        <w:rPr>
          <w:lang w:val="en-US"/>
        </w:rPr>
        <w:instrText xml:space="preserve"> REF _Ref178797679 \r \h </w:instrText>
      </w:r>
      <w:r w:rsidR="00700AA0">
        <w:rPr>
          <w:lang w:val="en-US"/>
        </w:rPr>
      </w:r>
      <w:r w:rsidR="00700AA0">
        <w:rPr>
          <w:lang w:val="en-US"/>
        </w:rPr>
        <w:fldChar w:fldCharType="separate"/>
      </w:r>
      <w:r w:rsidR="00700AA0">
        <w:rPr>
          <w:lang w:val="en-US"/>
        </w:rPr>
        <w:t>[4]</w:t>
      </w:r>
      <w:r w:rsidR="00700AA0">
        <w:rPr>
          <w:lang w:val="en-US"/>
        </w:rPr>
        <w:fldChar w:fldCharType="end"/>
      </w:r>
      <w:r w:rsidR="006C5AEC">
        <w:rPr>
          <w:lang w:val="en-GB"/>
        </w:rPr>
        <w:t>).</w:t>
      </w:r>
    </w:p>
    <w:p w14:paraId="1160FA4D" w14:textId="2AEA2E7C" w:rsidR="00BB28A4" w:rsidRDefault="00BB28A4" w:rsidP="00BB28A4">
      <w:pPr>
        <w:pStyle w:val="Caption"/>
        <w:keepNext/>
        <w:ind w:left="720" w:firstLine="720"/>
      </w:pPr>
      <w:bookmarkStart w:id="0" w:name="_Ref17879785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Relevant ECC Decisions to be considered for the NTN KU-</w:t>
      </w:r>
      <w:proofErr w:type="gramStart"/>
      <w:r>
        <w:t>band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4898"/>
      </w:tblGrid>
      <w:tr w:rsidR="008821CE" w14:paraId="08B00F9B" w14:textId="77777777" w:rsidTr="00E80284">
        <w:tc>
          <w:tcPr>
            <w:tcW w:w="1838" w:type="dxa"/>
          </w:tcPr>
          <w:p w14:paraId="6CF005C4" w14:textId="77777777" w:rsidR="008821CE" w:rsidRDefault="008821CE" w:rsidP="00E8028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ECC Decision</w:t>
            </w:r>
          </w:p>
        </w:tc>
        <w:tc>
          <w:tcPr>
            <w:tcW w:w="3119" w:type="dxa"/>
          </w:tcPr>
          <w:p w14:paraId="4F1A2098" w14:textId="77777777" w:rsidR="008821CE" w:rsidRDefault="008821CE" w:rsidP="00E8028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Frequency Range</w:t>
            </w:r>
          </w:p>
        </w:tc>
        <w:tc>
          <w:tcPr>
            <w:tcW w:w="4898" w:type="dxa"/>
          </w:tcPr>
          <w:p w14:paraId="386152BE" w14:textId="77777777" w:rsidR="008821CE" w:rsidRDefault="008821CE" w:rsidP="00E8028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Title</w:t>
            </w:r>
          </w:p>
        </w:tc>
      </w:tr>
      <w:tr w:rsidR="008821CE" w14:paraId="6A1AB74F" w14:textId="77777777" w:rsidTr="00E80284">
        <w:tc>
          <w:tcPr>
            <w:tcW w:w="1838" w:type="dxa"/>
          </w:tcPr>
          <w:p w14:paraId="655352D9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18)04</w:t>
            </w:r>
          </w:p>
        </w:tc>
        <w:tc>
          <w:tcPr>
            <w:tcW w:w="3119" w:type="dxa"/>
          </w:tcPr>
          <w:p w14:paraId="489E28BF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768E0006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40A3E1D0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t xml:space="preserve">The harmonised use, exemption from individual licensing and free circulation and use of </w:t>
            </w:r>
            <w:proofErr w:type="gramStart"/>
            <w:r>
              <w:t>land based</w:t>
            </w:r>
            <w:proofErr w:type="gramEnd"/>
            <w:r>
              <w:t xml:space="preserve"> Earth Stations In-Motion (ESIM) operating with GSO FSS satellite systems in the frequency bands 10.7-12.75 GHz and 14.0- 14.5 GHz</w:t>
            </w:r>
          </w:p>
        </w:tc>
      </w:tr>
      <w:tr w:rsidR="008821CE" w14:paraId="2CC8E449" w14:textId="77777777" w:rsidTr="00E80284">
        <w:tc>
          <w:tcPr>
            <w:tcW w:w="1838" w:type="dxa"/>
          </w:tcPr>
          <w:p w14:paraId="1DF74E3C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18)05</w:t>
            </w:r>
          </w:p>
        </w:tc>
        <w:tc>
          <w:tcPr>
            <w:tcW w:w="3119" w:type="dxa"/>
          </w:tcPr>
          <w:p w14:paraId="338102EE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775A2199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57C7F32D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t>The harmonised use, exemption from individual licensing and free circulation and use of Earth Stations In-Motion (ESIM) operating with NGSO FSS satellite systems in the frequency bands 10.7-12.75 GHz and 14.0-14.5 GHz</w:t>
            </w:r>
          </w:p>
        </w:tc>
      </w:tr>
      <w:tr w:rsidR="008821CE" w14:paraId="75039A14" w14:textId="77777777" w:rsidTr="00E80284">
        <w:tc>
          <w:tcPr>
            <w:tcW w:w="1838" w:type="dxa"/>
          </w:tcPr>
          <w:p w14:paraId="31EA7D51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19)04</w:t>
            </w:r>
          </w:p>
        </w:tc>
        <w:tc>
          <w:tcPr>
            <w:tcW w:w="3119" w:type="dxa"/>
          </w:tcPr>
          <w:p w14:paraId="0BD65A21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394C6554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12.75 – 13.25 GHz (E-to-S)</w:t>
            </w:r>
          </w:p>
        </w:tc>
        <w:tc>
          <w:tcPr>
            <w:tcW w:w="4898" w:type="dxa"/>
          </w:tcPr>
          <w:p w14:paraId="42D809FA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t>The harmonised use of spectrum, free circulation and use of earth stations on-board aircraft operating with GSO FSS networks and NGSO FSS systems in the frequency bands 12.75-13.25 GHz (Earth-to-space) and 10.7-12.75 GHz (space-to-Earth)</w:t>
            </w:r>
          </w:p>
        </w:tc>
      </w:tr>
      <w:tr w:rsidR="008821CE" w14:paraId="28515A39" w14:textId="77777777" w:rsidTr="00E80284">
        <w:tc>
          <w:tcPr>
            <w:tcW w:w="1838" w:type="dxa"/>
          </w:tcPr>
          <w:p w14:paraId="263ADE70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05)10</w:t>
            </w:r>
          </w:p>
        </w:tc>
        <w:tc>
          <w:tcPr>
            <w:tcW w:w="3119" w:type="dxa"/>
          </w:tcPr>
          <w:p w14:paraId="3B743B31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11.7 GHz and 12.5 – 12.75 GHz (S-to-E)</w:t>
            </w:r>
          </w:p>
          <w:p w14:paraId="750F8BBB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14.0 - 14.5 GHz (E-to-S)</w:t>
            </w:r>
          </w:p>
        </w:tc>
        <w:tc>
          <w:tcPr>
            <w:tcW w:w="4898" w:type="dxa"/>
          </w:tcPr>
          <w:p w14:paraId="70708954" w14:textId="77777777" w:rsidR="008821CE" w:rsidRPr="0017259D" w:rsidRDefault="008821CE" w:rsidP="00E80284">
            <w:pPr>
              <w:pStyle w:val="TAC"/>
              <w:rPr>
                <w:lang w:val="en-US"/>
              </w:rPr>
            </w:pPr>
            <w:r>
              <w:t>The free circulation and use of Earth Stations on board Vessels operating in fixed satellite service networks in the frequency bands 14-14.5 GHz</w:t>
            </w:r>
          </w:p>
        </w:tc>
      </w:tr>
      <w:tr w:rsidR="008821CE" w14:paraId="5DBF7B75" w14:textId="77777777" w:rsidTr="00E80284">
        <w:tc>
          <w:tcPr>
            <w:tcW w:w="1838" w:type="dxa"/>
          </w:tcPr>
          <w:p w14:paraId="53FEF62D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17)04</w:t>
            </w:r>
          </w:p>
        </w:tc>
        <w:tc>
          <w:tcPr>
            <w:tcW w:w="3119" w:type="dxa"/>
          </w:tcPr>
          <w:p w14:paraId="77370266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1463EC08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5862B4D0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t>The harmonised use and exemption from individual licensing of fixed earth stations operating with NGSO FSS satellite systems in the frequency bands 10.7-12.75 GHz and 14.0-14.5 GHz</w:t>
            </w:r>
          </w:p>
        </w:tc>
      </w:tr>
      <w:tr w:rsidR="008821CE" w14:paraId="2C3F29D0" w14:textId="77777777" w:rsidTr="00E80284">
        <w:tc>
          <w:tcPr>
            <w:tcW w:w="1838" w:type="dxa"/>
          </w:tcPr>
          <w:p w14:paraId="15F026ED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03)04</w:t>
            </w:r>
          </w:p>
        </w:tc>
        <w:tc>
          <w:tcPr>
            <w:tcW w:w="3119" w:type="dxa"/>
          </w:tcPr>
          <w:p w14:paraId="39120965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11.7 GHz (S-to-E)</w:t>
            </w:r>
          </w:p>
          <w:p w14:paraId="03FF437C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14.25 – 14.5 GHz (E-to-S)</w:t>
            </w:r>
          </w:p>
        </w:tc>
        <w:tc>
          <w:tcPr>
            <w:tcW w:w="4898" w:type="dxa"/>
          </w:tcPr>
          <w:p w14:paraId="72CC8CB6" w14:textId="77777777" w:rsidR="008821CE" w:rsidRPr="00D91613" w:rsidRDefault="008821CE" w:rsidP="00E80284">
            <w:pPr>
              <w:pStyle w:val="TAC"/>
              <w:rPr>
                <w:lang w:val="en-US"/>
              </w:rPr>
            </w:pPr>
            <w:r>
              <w:t>Exemption from Individual Licensing of Very Small Aperture Terminals (VSAT) operating in the frequency bands 14.25-14.50 GHz Earth-to-space and 10.70-11.70 GHz space-to-Earth</w:t>
            </w:r>
          </w:p>
        </w:tc>
      </w:tr>
      <w:tr w:rsidR="008821CE" w14:paraId="2554CCCE" w14:textId="77777777" w:rsidTr="00E80284">
        <w:tc>
          <w:tcPr>
            <w:tcW w:w="1838" w:type="dxa"/>
          </w:tcPr>
          <w:p w14:paraId="0E33E89B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06)03</w:t>
            </w:r>
          </w:p>
        </w:tc>
        <w:tc>
          <w:tcPr>
            <w:tcW w:w="3119" w:type="dxa"/>
          </w:tcPr>
          <w:p w14:paraId="786F4631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12.75 GHz (S-to-E)</w:t>
            </w:r>
          </w:p>
          <w:p w14:paraId="5FE4B55E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14.25 GHz (E-to-S)</w:t>
            </w:r>
          </w:p>
        </w:tc>
        <w:tc>
          <w:tcPr>
            <w:tcW w:w="4898" w:type="dxa"/>
          </w:tcPr>
          <w:p w14:paraId="640EC2D2" w14:textId="77777777" w:rsidR="008821CE" w:rsidRDefault="008821CE" w:rsidP="00E80284">
            <w:pPr>
              <w:pStyle w:val="TAC"/>
            </w:pPr>
            <w:r>
              <w:t>Exemption from Individual Licensing of high e.i.r.p. satellite terminals (HEST) operating with geostationary satellites and in the frequency bands 10.70-12.75 GHz or 19.70-20.20 GHz space-to-Earth and 14.00-14.25 GHz or 29.50-30.00 GHz Earth-to-space</w:t>
            </w:r>
          </w:p>
        </w:tc>
      </w:tr>
      <w:tr w:rsidR="008821CE" w14:paraId="20F7CEF6" w14:textId="77777777" w:rsidTr="00E80284">
        <w:tc>
          <w:tcPr>
            <w:tcW w:w="1838" w:type="dxa"/>
          </w:tcPr>
          <w:p w14:paraId="4141BE7F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ERC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00)08</w:t>
            </w:r>
          </w:p>
        </w:tc>
        <w:tc>
          <w:tcPr>
            <w:tcW w:w="3119" w:type="dxa"/>
          </w:tcPr>
          <w:p w14:paraId="1235E8CE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12.5 GHz (S-to-E)</w:t>
            </w:r>
          </w:p>
        </w:tc>
        <w:tc>
          <w:tcPr>
            <w:tcW w:w="4898" w:type="dxa"/>
          </w:tcPr>
          <w:p w14:paraId="3930D212" w14:textId="77777777" w:rsidR="008821CE" w:rsidRDefault="008821CE" w:rsidP="00E80284">
            <w:pPr>
              <w:pStyle w:val="TAC"/>
            </w:pPr>
            <w:r>
              <w:t>ERC Decision of 19 October 2000 on the use of the band 10.7 – 12.5 GHz by the fixed service and Earth stations of the broadcasting-satellite and fixed-satellite service (space-to-Earth)</w:t>
            </w:r>
          </w:p>
        </w:tc>
      </w:tr>
    </w:tbl>
    <w:p w14:paraId="11F4659A" w14:textId="77777777" w:rsidR="00384091" w:rsidRPr="008821CE" w:rsidRDefault="00384091" w:rsidP="00D92DCE">
      <w:pPr>
        <w:spacing w:after="120"/>
        <w:jc w:val="both"/>
        <w:rPr>
          <w:b/>
          <w:bCs/>
        </w:rPr>
      </w:pP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C2BA8CE" w14:textId="77777777" w:rsidR="00BB28A4" w:rsidRDefault="00BB28A4" w:rsidP="00BB28A4">
      <w:pPr>
        <w:keepNext/>
        <w:spacing w:after="120"/>
        <w:jc w:val="both"/>
      </w:pPr>
      <w:r w:rsidRPr="000E5BE4">
        <w:rPr>
          <w:noProof/>
        </w:rPr>
        <w:drawing>
          <wp:inline distT="0" distB="0" distL="0" distR="0" wp14:anchorId="0E0462D2" wp14:editId="1D6F711C">
            <wp:extent cx="6264275" cy="2560955"/>
            <wp:effectExtent l="0" t="0" r="3175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0C0F2B2-C9F1-22DD-7749-6FC369E1EC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0C0F2B2-C9F1-22DD-7749-6FC369E1EC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56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83F4F" w14:textId="52D15291" w:rsidR="00D81760" w:rsidRDefault="00BB28A4" w:rsidP="00BB28A4">
      <w:pPr>
        <w:pStyle w:val="Caption"/>
        <w:ind w:left="1440" w:firstLine="720"/>
        <w:jc w:val="both"/>
      </w:pPr>
      <w:bookmarkStart w:id="1" w:name="_Ref1787978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Relevant ETSI Harmonized Standards for the NTN Ku-</w:t>
      </w:r>
      <w:proofErr w:type="gramStart"/>
      <w:r>
        <w:t>band</w:t>
      </w:r>
      <w:proofErr w:type="gramEnd"/>
    </w:p>
    <w:p w14:paraId="0198E8E0" w14:textId="77777777" w:rsidR="00BB28A4" w:rsidRDefault="00BB28A4" w:rsidP="00BB28A4"/>
    <w:p w14:paraId="15A6B628" w14:textId="202425F7" w:rsidR="00BB28A4" w:rsidRPr="00455C78" w:rsidRDefault="00BB28A4" w:rsidP="00BB28A4">
      <w:pPr>
        <w:rPr>
          <w:b/>
          <w:bCs/>
        </w:rPr>
      </w:pPr>
      <w:r w:rsidRPr="00455C78">
        <w:rPr>
          <w:b/>
          <w:bCs/>
        </w:rPr>
        <w:t>Proposal</w:t>
      </w:r>
      <w:r w:rsidR="00455C78" w:rsidRPr="00455C78">
        <w:rPr>
          <w:b/>
          <w:bCs/>
        </w:rPr>
        <w:t>1</w:t>
      </w:r>
      <w:r w:rsidRPr="00455C78">
        <w:rPr>
          <w:b/>
          <w:bCs/>
        </w:rPr>
        <w:t xml:space="preserve">: </w:t>
      </w:r>
      <w:r w:rsidR="00771A88" w:rsidRPr="00455C78">
        <w:rPr>
          <w:b/>
          <w:bCs/>
        </w:rPr>
        <w:t>Consider the ECC Decision</w:t>
      </w:r>
      <w:r w:rsidR="00E57AD6" w:rsidRPr="00455C78">
        <w:rPr>
          <w:b/>
          <w:bCs/>
        </w:rPr>
        <w:t>s</w:t>
      </w:r>
      <w:r w:rsidR="00771A88" w:rsidRPr="00455C78">
        <w:rPr>
          <w:b/>
          <w:bCs/>
        </w:rPr>
        <w:t xml:space="preserve"> listed in Table 1 and the ETSI Harmonized Standards listed in Figure 1 when specifying VSAT RF requirement for the </w:t>
      </w:r>
      <w:r w:rsidR="004D5DB4" w:rsidRPr="00455C78">
        <w:rPr>
          <w:b/>
          <w:bCs/>
        </w:rPr>
        <w:t>NTN Ku band (</w:t>
      </w:r>
      <w:r w:rsidR="006723F0" w:rsidRPr="00455C78">
        <w:rPr>
          <w:b/>
          <w:bCs/>
          <w:lang w:val="en-GB"/>
        </w:rPr>
        <w:t>10.7 – 12.75 GHz (E-to-S) and 14.0 - 14.5 GHz (E-to-S)</w:t>
      </w:r>
      <w:r w:rsidR="004D5DB4" w:rsidRPr="00455C78">
        <w:rPr>
          <w:b/>
          <w:bCs/>
        </w:rPr>
        <w:t>)</w:t>
      </w:r>
      <w:r w:rsidR="006723F0" w:rsidRPr="00455C78">
        <w:rPr>
          <w:b/>
          <w:bCs/>
        </w:rPr>
        <w:t>.</w:t>
      </w:r>
    </w:p>
    <w:p w14:paraId="43F95DAC" w14:textId="0D21F533" w:rsidR="005C7F53" w:rsidRDefault="00F3213A" w:rsidP="00F3213A">
      <w:pPr>
        <w:pStyle w:val="Heading2"/>
      </w:pPr>
      <w:r>
        <w:lastRenderedPageBreak/>
        <w:t>FR choice and TS 38.101-5 impacts</w:t>
      </w:r>
    </w:p>
    <w:p w14:paraId="7DAE12A5" w14:textId="0EE400C3" w:rsidR="00B16316" w:rsidRDefault="00936F24" w:rsidP="00BB28A4">
      <w:r>
        <w:t>According to the WI</w:t>
      </w:r>
      <w:r w:rsidR="009D37BF">
        <w:t xml:space="preserve">D (), only NTN UEs types 1 to 5 shall be considered in the scope of this WI, no handheld device is expected in this NTN Ku-band. </w:t>
      </w:r>
    </w:p>
    <w:p w14:paraId="65DA93B4" w14:textId="08D9199C" w:rsidR="005A3480" w:rsidRPr="00455C78" w:rsidRDefault="005A3480" w:rsidP="00BB28A4">
      <w:pPr>
        <w:rPr>
          <w:b/>
          <w:bCs/>
        </w:rPr>
      </w:pPr>
      <w:r w:rsidRPr="00455C78">
        <w:rPr>
          <w:b/>
          <w:bCs/>
        </w:rPr>
        <w:t>Observation</w:t>
      </w:r>
      <w:r w:rsidR="00455C78" w:rsidRPr="00455C78">
        <w:rPr>
          <w:b/>
          <w:bCs/>
        </w:rPr>
        <w:t>1</w:t>
      </w:r>
      <w:r w:rsidRPr="00455C78">
        <w:rPr>
          <w:b/>
          <w:bCs/>
        </w:rPr>
        <w:t>: Only VSAT (NTN UE Type 1-5) shall be considered for the NTN Ku-band</w:t>
      </w:r>
      <w:r w:rsidR="00455C78" w:rsidRPr="00455C78">
        <w:rPr>
          <w:b/>
          <w:bCs/>
        </w:rPr>
        <w:t>.</w:t>
      </w:r>
    </w:p>
    <w:p w14:paraId="527F4674" w14:textId="3FAB4A3C" w:rsidR="005A3480" w:rsidRDefault="005A3480" w:rsidP="00BB28A4">
      <w:r>
        <w:t xml:space="preserve">Looking at TS 38.101-5, </w:t>
      </w:r>
      <w:r w:rsidR="00253EBA">
        <w:t xml:space="preserve">only FR2-NTN bands are </w:t>
      </w:r>
      <w:r w:rsidR="00621F24">
        <w:t xml:space="preserve">bands with radiated requirements, </w:t>
      </w:r>
      <w:r>
        <w:t xml:space="preserve">TN UE type 1-5 are </w:t>
      </w:r>
      <w:r w:rsidR="00621F24">
        <w:t xml:space="preserve">currently only </w:t>
      </w:r>
      <w:r>
        <w:t xml:space="preserve">supported </w:t>
      </w:r>
      <w:r w:rsidR="00621F24">
        <w:t xml:space="preserve">in FR2-NTN bands. </w:t>
      </w:r>
    </w:p>
    <w:p w14:paraId="6DA54FDB" w14:textId="2B42023B" w:rsidR="007473F6" w:rsidRPr="00455C78" w:rsidRDefault="007473F6" w:rsidP="00BB28A4">
      <w:pPr>
        <w:rPr>
          <w:b/>
          <w:bCs/>
        </w:rPr>
      </w:pPr>
      <w:r w:rsidRPr="00455C78">
        <w:rPr>
          <w:b/>
          <w:bCs/>
        </w:rPr>
        <w:t>Observation</w:t>
      </w:r>
      <w:r w:rsidR="00455C78" w:rsidRPr="00455C78">
        <w:rPr>
          <w:b/>
          <w:bCs/>
        </w:rPr>
        <w:t>2</w:t>
      </w:r>
      <w:r w:rsidRPr="00455C78">
        <w:rPr>
          <w:b/>
          <w:bCs/>
        </w:rPr>
        <w:t>: Currently, radiated requirements and NTN UE type 1-5 are only supported in FR2-NTN bands in TS 38.101-5</w:t>
      </w:r>
      <w:r w:rsidR="00165A05" w:rsidRPr="00455C78">
        <w:rPr>
          <w:b/>
          <w:bCs/>
        </w:rPr>
        <w:t>.</w:t>
      </w:r>
    </w:p>
    <w:p w14:paraId="4D3727A1" w14:textId="77777777" w:rsidR="00C95E97" w:rsidRDefault="00F3213A" w:rsidP="00BB28A4">
      <w:r>
        <w:t xml:space="preserve">If RAN4 decides that the NTN Ku-band should belong </w:t>
      </w:r>
      <w:r w:rsidR="00B16316">
        <w:t>to FR1-NTN frequency range</w:t>
      </w:r>
      <w:r w:rsidR="009D37BF">
        <w:t xml:space="preserve">, </w:t>
      </w:r>
      <w:r w:rsidR="00165A05">
        <w:t xml:space="preserve">some preliminary </w:t>
      </w:r>
      <w:r w:rsidR="00A00C97">
        <w:t>udpates would be needed to ensure NTN UE type 1-5 could easily be also supported in FR1-NTN.</w:t>
      </w:r>
      <w:r w:rsidR="00C95E97">
        <w:t xml:space="preserve"> </w:t>
      </w:r>
    </w:p>
    <w:p w14:paraId="104B9BB5" w14:textId="16DEDEA9" w:rsidR="005C7F53" w:rsidRDefault="00C95E97" w:rsidP="00BB28A4">
      <w:r>
        <w:t>For example:</w:t>
      </w:r>
    </w:p>
    <w:p w14:paraId="3DA7F9FA" w14:textId="2E187134" w:rsidR="00C95E97" w:rsidRDefault="00131A2C" w:rsidP="00C95E97">
      <w:pPr>
        <w:pStyle w:val="ListParagraph"/>
        <w:numPr>
          <w:ilvl w:val="0"/>
          <w:numId w:val="50"/>
        </w:numPr>
      </w:pPr>
      <w:r>
        <w:t>Subclauses in section 5.2 (</w:t>
      </w:r>
      <w:r w:rsidR="00CA3C79">
        <w:t xml:space="preserve">5.2.2 </w:t>
      </w:r>
      <w:r w:rsidR="00D14EFC" w:rsidRPr="00ED6D49">
        <w:t xml:space="preserve">Operating bands with conducted </w:t>
      </w:r>
      <w:proofErr w:type="gramStart"/>
      <w:r w:rsidR="00D14EFC" w:rsidRPr="00ED6D49">
        <w:t>requirements</w:t>
      </w:r>
      <w:r w:rsidR="00D14EFC">
        <w:t xml:space="preserve">  </w:t>
      </w:r>
      <w:r w:rsidR="00CA3C79">
        <w:t>and</w:t>
      </w:r>
      <w:proofErr w:type="gramEnd"/>
      <w:r w:rsidR="00CA3C79">
        <w:t xml:space="preserve"> </w:t>
      </w:r>
      <w:r w:rsidR="00D14EFC">
        <w:t>5.2.3</w:t>
      </w:r>
      <w:r w:rsidR="00F8495C">
        <w:t xml:space="preserve"> </w:t>
      </w:r>
      <w:r w:rsidR="00F8495C" w:rsidRPr="00ED6D49">
        <w:t xml:space="preserve">Operating bands with </w:t>
      </w:r>
      <w:r w:rsidR="00F8495C">
        <w:t>radiated</w:t>
      </w:r>
      <w:r w:rsidR="00F8495C" w:rsidRPr="00ED6D49">
        <w:t xml:space="preserve"> requirements</w:t>
      </w:r>
      <w:r>
        <w:t xml:space="preserve">) </w:t>
      </w:r>
      <w:r w:rsidR="00F8495C">
        <w:t xml:space="preserve">need to be rearranged or their name should be updated. </w:t>
      </w:r>
    </w:p>
    <w:p w14:paraId="02BD45EB" w14:textId="59BA0EF4" w:rsidR="00CA7A6A" w:rsidRDefault="002A2E63" w:rsidP="00C95E97">
      <w:pPr>
        <w:pStyle w:val="ListParagraph"/>
        <w:numPr>
          <w:ilvl w:val="0"/>
          <w:numId w:val="50"/>
        </w:numPr>
      </w:pPr>
      <w:r>
        <w:t xml:space="preserve">In sub-clause 9.2.2.1, the following sentence </w:t>
      </w:r>
      <w:r w:rsidR="00E10D31">
        <w:t>needs to be updated</w:t>
      </w:r>
      <w:r w:rsidR="00CA7A6A">
        <w:t xml:space="preserve"> so that FR1-NTN VSAT </w:t>
      </w:r>
      <w:r w:rsidR="0096649E">
        <w:t>are included:</w:t>
      </w:r>
    </w:p>
    <w:p w14:paraId="475C0387" w14:textId="77777777" w:rsidR="0096649E" w:rsidRDefault="00CA7A6A" w:rsidP="0096649E">
      <w:pPr>
        <w:ind w:left="360"/>
      </w:pPr>
      <w:r w:rsidRPr="00CA7A6A">
        <w:rPr>
          <w:noProof/>
        </w:rPr>
        <w:drawing>
          <wp:inline distT="0" distB="0" distL="0" distR="0" wp14:anchorId="130E4CA4" wp14:editId="392F5F3A">
            <wp:extent cx="5645440" cy="577880"/>
            <wp:effectExtent l="152400" t="152400" r="355600" b="355600"/>
            <wp:docPr id="1576833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833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45440" cy="577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A27EBB" w14:textId="16758474" w:rsidR="006718A4" w:rsidRPr="006718A4" w:rsidRDefault="006718A4" w:rsidP="0096649E">
      <w:r w:rsidRPr="006718A4">
        <w:t xml:space="preserve">We suggest </w:t>
      </w:r>
      <w:r>
        <w:t xml:space="preserve">doing this </w:t>
      </w:r>
      <w:r w:rsidRPr="006718A4">
        <w:t xml:space="preserve">clean-up phase before adding any requirement for the NTN Ku-band in TS 38.101-5. </w:t>
      </w:r>
    </w:p>
    <w:p w14:paraId="68A22A42" w14:textId="5EB9EE08" w:rsidR="002A2E63" w:rsidRDefault="0096649E" w:rsidP="0096649E">
      <w:pPr>
        <w:rPr>
          <w:b/>
          <w:bCs/>
        </w:rPr>
      </w:pPr>
      <w:r w:rsidRPr="006718A4">
        <w:rPr>
          <w:b/>
          <w:bCs/>
        </w:rPr>
        <w:t>Proposal</w:t>
      </w:r>
      <w:r w:rsidR="00455C78">
        <w:rPr>
          <w:b/>
          <w:bCs/>
        </w:rPr>
        <w:t>2</w:t>
      </w:r>
      <w:r w:rsidRPr="006718A4">
        <w:rPr>
          <w:b/>
          <w:bCs/>
        </w:rPr>
        <w:t xml:space="preserve">: If RAN4 decides that the NTN Ku-band(s) should belong to FR1-NTN, RAN4 should </w:t>
      </w:r>
      <w:r w:rsidR="00FD32CA" w:rsidRPr="006718A4">
        <w:rPr>
          <w:b/>
          <w:bCs/>
        </w:rPr>
        <w:t xml:space="preserve">first review and update TS 38.101-5 </w:t>
      </w:r>
      <w:r w:rsidR="006718A4" w:rsidRPr="006718A4">
        <w:rPr>
          <w:b/>
          <w:bCs/>
        </w:rPr>
        <w:t xml:space="preserve">to facilitate the support of NTN UE type 1-5 for the NTN Ku-band. </w:t>
      </w: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66243DCD" w:rsidR="00D211BE" w:rsidRDefault="00D211BE" w:rsidP="00D211BE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>
        <w:rPr>
          <w:lang w:val="en-US" w:eastAsia="zh-CN"/>
        </w:rPr>
        <w:t xml:space="preserve"> </w:t>
      </w:r>
      <w:r w:rsidR="00A229E6">
        <w:rPr>
          <w:lang w:val="en-US" w:eastAsia="zh-CN"/>
        </w:rPr>
        <w:t xml:space="preserve">made an initial </w:t>
      </w:r>
      <w:r>
        <w:rPr>
          <w:lang w:val="en-US" w:eastAsia="zh-CN"/>
        </w:rPr>
        <w:t>analy</w:t>
      </w:r>
      <w:r w:rsidR="00A229E6">
        <w:rPr>
          <w:lang w:val="en-US" w:eastAsia="zh-CN"/>
        </w:rPr>
        <w:t>sis</w:t>
      </w:r>
      <w:r>
        <w:rPr>
          <w:lang w:val="en-US" w:eastAsia="zh-CN"/>
        </w:rPr>
        <w:t xml:space="preserve"> </w:t>
      </w:r>
      <w:r w:rsidR="00A229E6">
        <w:rPr>
          <w:lang w:val="en-US" w:eastAsia="zh-CN"/>
        </w:rPr>
        <w:t xml:space="preserve">of </w:t>
      </w:r>
      <w:r>
        <w:rPr>
          <w:lang w:val="en-US" w:eastAsia="zh-CN"/>
        </w:rPr>
        <w:t xml:space="preserve">the impacts of </w:t>
      </w:r>
      <w:r w:rsidR="00A229E6">
        <w:rPr>
          <w:lang w:val="en-US" w:eastAsia="zh-CN"/>
        </w:rPr>
        <w:t xml:space="preserve">adding </w:t>
      </w:r>
      <w:r w:rsidR="00455C78">
        <w:rPr>
          <w:lang w:val="en-US" w:eastAsia="zh-CN"/>
        </w:rPr>
        <w:t xml:space="preserve">NTN Ku-band in TS 38.101-5, looking also at CEPT regulatory and ETSI Harmonized Standards context. </w:t>
      </w:r>
      <w:r>
        <w:rPr>
          <w:lang w:val="en-US" w:eastAsia="zh-CN"/>
        </w:rPr>
        <w:t xml:space="preserve">We made the following proposals and observations: </w:t>
      </w:r>
    </w:p>
    <w:p w14:paraId="4AB00C3E" w14:textId="77777777" w:rsidR="00455C78" w:rsidRPr="00455C78" w:rsidRDefault="00455C78" w:rsidP="00455C78">
      <w:pPr>
        <w:rPr>
          <w:b/>
          <w:bCs/>
        </w:rPr>
      </w:pPr>
      <w:r w:rsidRPr="00455C78">
        <w:rPr>
          <w:b/>
          <w:bCs/>
        </w:rPr>
        <w:t>Proposal1: Consider the ECC Decisions listed in Table 1 and the ETSI Harmonized Standards listed in Figure 1 when specifying VSAT RF requirement for the NTN Ku band (</w:t>
      </w:r>
      <w:r w:rsidRPr="00455C78">
        <w:rPr>
          <w:b/>
          <w:bCs/>
          <w:lang w:val="en-GB"/>
        </w:rPr>
        <w:t>10.7 – 12.75 GHz (E-to-S) and 14.0 - 14.5 GHz (E-to-S)</w:t>
      </w:r>
      <w:r w:rsidRPr="00455C78">
        <w:rPr>
          <w:b/>
          <w:bCs/>
        </w:rPr>
        <w:t>).</w:t>
      </w:r>
    </w:p>
    <w:p w14:paraId="31C7B739" w14:textId="77777777" w:rsidR="00455C78" w:rsidRPr="00455C78" w:rsidRDefault="00455C78" w:rsidP="00455C78">
      <w:pPr>
        <w:rPr>
          <w:b/>
          <w:bCs/>
        </w:rPr>
      </w:pPr>
      <w:r w:rsidRPr="00455C78">
        <w:rPr>
          <w:b/>
          <w:bCs/>
        </w:rPr>
        <w:t>Observation1: Only VSAT (NTN UE Type 1-5) shall be considered for the NTN Ku-band.</w:t>
      </w:r>
    </w:p>
    <w:p w14:paraId="555C29D9" w14:textId="77777777" w:rsidR="00455C78" w:rsidRPr="00455C78" w:rsidRDefault="00455C78" w:rsidP="00455C78">
      <w:pPr>
        <w:rPr>
          <w:b/>
          <w:bCs/>
        </w:rPr>
      </w:pPr>
      <w:r w:rsidRPr="00455C78">
        <w:rPr>
          <w:b/>
          <w:bCs/>
        </w:rPr>
        <w:t>Observation2: Currently, radiated requirements and NTN UE type 1-5 are only supported in FR2-NTN bands in TS 38.101-5.</w:t>
      </w:r>
    </w:p>
    <w:p w14:paraId="3F5581AD" w14:textId="77777777" w:rsidR="00455C78" w:rsidRDefault="00455C78" w:rsidP="00455C78">
      <w:pPr>
        <w:rPr>
          <w:b/>
          <w:bCs/>
        </w:rPr>
      </w:pPr>
      <w:r w:rsidRPr="006718A4">
        <w:rPr>
          <w:b/>
          <w:bCs/>
        </w:rPr>
        <w:t>Proposal</w:t>
      </w:r>
      <w:r>
        <w:rPr>
          <w:b/>
          <w:bCs/>
        </w:rPr>
        <w:t>2</w:t>
      </w:r>
      <w:r w:rsidRPr="006718A4">
        <w:rPr>
          <w:b/>
          <w:bCs/>
        </w:rPr>
        <w:t xml:space="preserve">: If RAN4 decides that the NTN Ku-band(s) should belong to FR1-NTN, RAN4 should first review and update TS 38.101-5 to facilitate the support of NTN UE type 1-5 for the NTN Ku-band. </w:t>
      </w:r>
    </w:p>
    <w:p w14:paraId="50BCF7F8" w14:textId="72C8E5C8" w:rsidR="00A605D3" w:rsidRPr="006718A4" w:rsidRDefault="00A605D3" w:rsidP="00D211BE">
      <w:pPr>
        <w:rPr>
          <w:b/>
          <w:bCs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4B8927E" w14:textId="02E8E57F" w:rsidR="0029446E" w:rsidRPr="00455C1A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36645126"/>
      <w:bookmarkStart w:id="3" w:name="_Ref61102517"/>
      <w:bookmarkStart w:id="4" w:name="_Ref172108255"/>
      <w:r w:rsidRPr="00EF528C">
        <w:rPr>
          <w:lang w:val="en-US"/>
        </w:rPr>
        <w:t>RP-2</w:t>
      </w:r>
      <w:r w:rsidR="00757541">
        <w:rPr>
          <w:lang w:val="en-US"/>
        </w:rPr>
        <w:t>416</w:t>
      </w:r>
      <w:r w:rsidR="009E0422">
        <w:rPr>
          <w:lang w:val="en-US"/>
        </w:rPr>
        <w:t>90</w:t>
      </w:r>
      <w:r w:rsidRPr="00EF528C">
        <w:rPr>
          <w:lang w:val="en-US"/>
        </w:rPr>
        <w:t>,</w:t>
      </w:r>
      <w:bookmarkEnd w:id="2"/>
      <w:bookmarkEnd w:id="3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New WID on Introduction of Ku Band for NR NTN, </w:t>
      </w:r>
      <w:r w:rsidR="00A1537C" w:rsidRPr="00A1537C">
        <w:rPr>
          <w:lang w:val="en-US"/>
        </w:rPr>
        <w:t>Intelsat, Eutelsat Group, Thales, CHTTL, Hispasat</w:t>
      </w:r>
      <w:bookmarkEnd w:id="4"/>
    </w:p>
    <w:p w14:paraId="3B4E8F93" w14:textId="25AEEB31" w:rsidR="007815E3" w:rsidRDefault="00567156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78587121"/>
      <w:r>
        <w:rPr>
          <w:lang w:val="en-US"/>
        </w:rPr>
        <w:t>R4-</w:t>
      </w:r>
      <w:r w:rsidR="008C70C8">
        <w:rPr>
          <w:lang w:val="en-US"/>
        </w:rPr>
        <w:t>24135</w:t>
      </w:r>
      <w:r w:rsidR="004A55CB">
        <w:rPr>
          <w:lang w:val="en-US"/>
        </w:rPr>
        <w:t>25</w:t>
      </w:r>
      <w:r w:rsidR="008C70C8">
        <w:rPr>
          <w:lang w:val="en-US"/>
        </w:rPr>
        <w:t xml:space="preserve">, </w:t>
      </w:r>
      <w:bookmarkEnd w:id="5"/>
      <w:r w:rsidR="004A55CB" w:rsidRPr="004A55CB">
        <w:rPr>
          <w:lang w:val="en-US"/>
        </w:rPr>
        <w:t>Way Forward for [112][315] NR_NTN_Ku_Band_UE_SAN_R</w:t>
      </w:r>
      <w:r w:rsidR="004A55CB" w:rsidRPr="004A55CB">
        <w:rPr>
          <w:rFonts w:hint="eastAsia"/>
          <w:lang w:val="en-US"/>
        </w:rPr>
        <w:t>F</w:t>
      </w:r>
    </w:p>
    <w:p w14:paraId="2A4A1E37" w14:textId="431713A3" w:rsidR="006C5AEC" w:rsidRDefault="006C5AE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78797696"/>
      <w:r>
        <w:rPr>
          <w:lang w:val="en-US"/>
        </w:rPr>
        <w:t xml:space="preserve">R4-2411190, </w:t>
      </w:r>
      <w:r w:rsidR="00F95F6E">
        <w:rPr>
          <w:lang w:val="en-US"/>
        </w:rPr>
        <w:t>NTN Ku-band – Regulatory aspects and band(s) definition, Ericsson</w:t>
      </w:r>
      <w:bookmarkEnd w:id="6"/>
    </w:p>
    <w:p w14:paraId="6190D48B" w14:textId="2505B8DA" w:rsidR="00F95F6E" w:rsidRPr="004A55CB" w:rsidRDefault="00F95F6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78797679"/>
      <w:r>
        <w:rPr>
          <w:lang w:val="en-US"/>
        </w:rPr>
        <w:t>R4-24</w:t>
      </w:r>
      <w:r w:rsidR="00700AA0">
        <w:rPr>
          <w:lang w:val="en-US"/>
        </w:rPr>
        <w:t xml:space="preserve">13519, </w:t>
      </w:r>
      <w:r w:rsidR="00700AA0" w:rsidRPr="00700AA0">
        <w:rPr>
          <w:lang w:val="en-US"/>
        </w:rPr>
        <w:t>Way Forward for [112][314] NR_NTN_Ku_Band_General</w:t>
      </w:r>
      <w:bookmarkEnd w:id="7"/>
    </w:p>
    <w:sectPr w:rsidR="00F95F6E" w:rsidRPr="004A55C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D8E50" w14:textId="77777777" w:rsidR="00E4634F" w:rsidRDefault="00E4634F">
      <w:r>
        <w:separator/>
      </w:r>
    </w:p>
  </w:endnote>
  <w:endnote w:type="continuationSeparator" w:id="0">
    <w:p w14:paraId="4B70B6EA" w14:textId="77777777" w:rsidR="00E4634F" w:rsidRDefault="00E4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0E144" w14:textId="77777777" w:rsidR="00E4634F" w:rsidRDefault="00E4634F">
      <w:r>
        <w:separator/>
      </w:r>
    </w:p>
  </w:footnote>
  <w:footnote w:type="continuationSeparator" w:id="0">
    <w:p w14:paraId="136576CE" w14:textId="77777777" w:rsidR="00E4634F" w:rsidRDefault="00E46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B2213"/>
    <w:multiLevelType w:val="hybridMultilevel"/>
    <w:tmpl w:val="DBAACB1E"/>
    <w:lvl w:ilvl="0" w:tplc="2B802312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3CF74E6"/>
    <w:multiLevelType w:val="hybridMultilevel"/>
    <w:tmpl w:val="191EF9B6"/>
    <w:numStyleLink w:val="1"/>
  </w:abstractNum>
  <w:abstractNum w:abstractNumId="17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876EA"/>
    <w:multiLevelType w:val="hybridMultilevel"/>
    <w:tmpl w:val="3D9CF654"/>
    <w:lvl w:ilvl="0" w:tplc="26107B78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F50A4"/>
    <w:multiLevelType w:val="hybridMultilevel"/>
    <w:tmpl w:val="1584A7F0"/>
    <w:lvl w:ilvl="0" w:tplc="C42C5BC6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6C3449A"/>
    <w:multiLevelType w:val="hybridMultilevel"/>
    <w:tmpl w:val="3D94A3A4"/>
    <w:lvl w:ilvl="0" w:tplc="FAC88F76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20"/>
  </w:num>
  <w:num w:numId="2" w16cid:durableId="480122309">
    <w:abstractNumId w:val="19"/>
  </w:num>
  <w:num w:numId="3" w16cid:durableId="1190340224">
    <w:abstractNumId w:val="42"/>
  </w:num>
  <w:num w:numId="4" w16cid:durableId="737635771">
    <w:abstractNumId w:val="6"/>
  </w:num>
  <w:num w:numId="5" w16cid:durableId="86539476">
    <w:abstractNumId w:val="31"/>
  </w:num>
  <w:num w:numId="6" w16cid:durableId="66617274">
    <w:abstractNumId w:val="23"/>
  </w:num>
  <w:num w:numId="7" w16cid:durableId="691224717">
    <w:abstractNumId w:val="21"/>
  </w:num>
  <w:num w:numId="8" w16cid:durableId="246310024">
    <w:abstractNumId w:val="32"/>
  </w:num>
  <w:num w:numId="9" w16cid:durableId="1061517549">
    <w:abstractNumId w:val="46"/>
  </w:num>
  <w:num w:numId="10" w16cid:durableId="1398893294">
    <w:abstractNumId w:val="39"/>
  </w:num>
  <w:num w:numId="11" w16cid:durableId="917980055">
    <w:abstractNumId w:val="38"/>
  </w:num>
  <w:num w:numId="12" w16cid:durableId="271061261">
    <w:abstractNumId w:val="22"/>
  </w:num>
  <w:num w:numId="13" w16cid:durableId="293409609">
    <w:abstractNumId w:val="40"/>
  </w:num>
  <w:num w:numId="14" w16cid:durableId="1395929953">
    <w:abstractNumId w:val="43"/>
  </w:num>
  <w:num w:numId="15" w16cid:durableId="454178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492209228">
    <w:abstractNumId w:val="44"/>
  </w:num>
  <w:num w:numId="17" w16cid:durableId="11092745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6131654">
    <w:abstractNumId w:val="1"/>
  </w:num>
  <w:num w:numId="19" w16cid:durableId="1608923356">
    <w:abstractNumId w:val="33"/>
  </w:num>
  <w:num w:numId="20" w16cid:durableId="455295145">
    <w:abstractNumId w:val="8"/>
  </w:num>
  <w:num w:numId="21" w16cid:durableId="703135946">
    <w:abstractNumId w:val="29"/>
  </w:num>
  <w:num w:numId="22" w16cid:durableId="879166149">
    <w:abstractNumId w:val="21"/>
  </w:num>
  <w:num w:numId="23" w16cid:durableId="1981029802">
    <w:abstractNumId w:val="9"/>
  </w:num>
  <w:num w:numId="24" w16cid:durableId="334109662">
    <w:abstractNumId w:val="14"/>
  </w:num>
  <w:num w:numId="25" w16cid:durableId="600990165">
    <w:abstractNumId w:val="15"/>
  </w:num>
  <w:num w:numId="26" w16cid:durableId="1450051726">
    <w:abstractNumId w:val="36"/>
  </w:num>
  <w:num w:numId="27" w16cid:durableId="1512570923">
    <w:abstractNumId w:val="11"/>
  </w:num>
  <w:num w:numId="28" w16cid:durableId="731151157">
    <w:abstractNumId w:val="17"/>
  </w:num>
  <w:num w:numId="29" w16cid:durableId="1845439222">
    <w:abstractNumId w:val="24"/>
  </w:num>
  <w:num w:numId="30" w16cid:durableId="413819155">
    <w:abstractNumId w:val="3"/>
  </w:num>
  <w:num w:numId="31" w16cid:durableId="1529218645">
    <w:abstractNumId w:val="28"/>
  </w:num>
  <w:num w:numId="32" w16cid:durableId="10548153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308483066">
    <w:abstractNumId w:val="41"/>
  </w:num>
  <w:num w:numId="34" w16cid:durableId="1028916922">
    <w:abstractNumId w:val="37"/>
  </w:num>
  <w:num w:numId="35" w16cid:durableId="2027366811">
    <w:abstractNumId w:val="30"/>
  </w:num>
  <w:num w:numId="36" w16cid:durableId="1893805978">
    <w:abstractNumId w:val="4"/>
  </w:num>
  <w:num w:numId="37" w16cid:durableId="2041589688">
    <w:abstractNumId w:val="10"/>
  </w:num>
  <w:num w:numId="38" w16cid:durableId="2002999387">
    <w:abstractNumId w:val="13"/>
  </w:num>
  <w:num w:numId="39" w16cid:durableId="1423261774">
    <w:abstractNumId w:val="2"/>
  </w:num>
  <w:num w:numId="40" w16cid:durableId="1577864125">
    <w:abstractNumId w:val="16"/>
  </w:num>
  <w:num w:numId="41" w16cid:durableId="1050347580">
    <w:abstractNumId w:val="35"/>
  </w:num>
  <w:num w:numId="42" w16cid:durableId="1254431049">
    <w:abstractNumId w:val="18"/>
  </w:num>
  <w:num w:numId="43" w16cid:durableId="1238828397">
    <w:abstractNumId w:val="5"/>
  </w:num>
  <w:num w:numId="44" w16cid:durableId="1285962279">
    <w:abstractNumId w:val="12"/>
  </w:num>
  <w:num w:numId="45" w16cid:durableId="1027637005">
    <w:abstractNumId w:val="45"/>
  </w:num>
  <w:num w:numId="46" w16cid:durableId="1386177245">
    <w:abstractNumId w:val="7"/>
  </w:num>
  <w:num w:numId="47" w16cid:durableId="64299852">
    <w:abstractNumId w:val="26"/>
  </w:num>
  <w:num w:numId="48" w16cid:durableId="637566166">
    <w:abstractNumId w:val="34"/>
  </w:num>
  <w:num w:numId="49" w16cid:durableId="172688887">
    <w:abstractNumId w:val="25"/>
  </w:num>
  <w:num w:numId="50" w16cid:durableId="510343339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95F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2C84"/>
    <w:rsid w:val="002A2E63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E7D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3074"/>
    <w:rsid w:val="0056342F"/>
    <w:rsid w:val="00563F9E"/>
    <w:rsid w:val="00564BD2"/>
    <w:rsid w:val="00565AE4"/>
    <w:rsid w:val="005666A6"/>
    <w:rsid w:val="00566E7D"/>
    <w:rsid w:val="00567156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4900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61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2E9"/>
    <w:rsid w:val="00934427"/>
    <w:rsid w:val="00934615"/>
    <w:rsid w:val="00934F28"/>
    <w:rsid w:val="00935228"/>
    <w:rsid w:val="00935E36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47A28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3F9"/>
    <w:rsid w:val="00AE54CF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316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65B9"/>
    <w:rsid w:val="00B500CB"/>
    <w:rsid w:val="00B503CA"/>
    <w:rsid w:val="00B50E75"/>
    <w:rsid w:val="00B50F1B"/>
    <w:rsid w:val="00B50F2E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B5C"/>
    <w:rsid w:val="00E23E7B"/>
    <w:rsid w:val="00E23E82"/>
    <w:rsid w:val="00E24FFD"/>
    <w:rsid w:val="00E25574"/>
    <w:rsid w:val="00E26199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70D6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449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2E9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42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42E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4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5325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526</cp:revision>
  <cp:lastPrinted>2001-04-23T09:30:00Z</cp:lastPrinted>
  <dcterms:created xsi:type="dcterms:W3CDTF">2020-07-22T11:41:00Z</dcterms:created>
  <dcterms:modified xsi:type="dcterms:W3CDTF">2024-10-07T11:50:00Z</dcterms:modified>
</cp:coreProperties>
</file>